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TRAMADOL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Analogo opioide debil de accion central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Indicacion: dolor leve a moderado tanto agudo como cronico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Mecanismo de accion: metabolito (M1) agonista Mu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ab/>
        <w:tab/>
        <w:t xml:space="preserve"> inhibicion de la recaptacion de serotonina y noradrenalina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Absorcion oral: casi del 100%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Biodisponibilidad: 70% despues de una sola dosis. DIferencia del 30% por primer paso hepatico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Luego de varias dosis, la biodisponibilidad alcanza un 90-100% por saturacion del metabolismo hepatico de primer paso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Vias de administracion: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Oral-IV-IM-SC-rectal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Excrecion: principalmente por via renal (90%)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    minima excrecion por materia fecal y via biliar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Vida media de eliminacion: 5 - 6 hs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Insuficiencia hepatica: en casos de cirrosis la vida media se vio aumentada hasta 22hs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Insuficiencia renal: en caso de cl crea &lt;5ml/min la vida media alcanzo las 11hs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                   puede ser epileptogeno en pacientes uremicos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                   se sugiere no utilizar formulas de liberacion prolongada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Equianalgesia respecto a la morfina: 10:1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Dosis: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Dosis maxima: </w:t>
      </w:r>
      <w:r w:rsidDel="00000000" w:rsidR="00000000" w:rsidRPr="00000000">
        <w:rPr>
          <w:b w:val="1"/>
          <w:rtl w:val="0"/>
        </w:rPr>
        <w:t xml:space="preserve">400mg/dia </w:t>
      </w:r>
      <w:r w:rsidDel="00000000" w:rsidR="00000000" w:rsidRPr="00000000">
        <w:rPr>
          <w:rtl w:val="0"/>
        </w:rPr>
        <w:t xml:space="preserve">(repartidos cada 4 a 6 hs)</w:t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Dosis maxima de la forma retard (LP) es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Dosis en &gt;75 años: </w:t>
      </w:r>
      <w:r w:rsidDel="00000000" w:rsidR="00000000" w:rsidRPr="00000000">
        <w:rPr>
          <w:b w:val="1"/>
          <w:rtl w:val="0"/>
        </w:rPr>
        <w:t xml:space="preserve">200-300 mg/dia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Dosis en insuficiencia renal (Cl cr 10 a 30ml/min):  </w:t>
      </w:r>
      <w:r w:rsidDel="00000000" w:rsidR="00000000" w:rsidRPr="00000000">
        <w:rPr>
          <w:b w:val="1"/>
          <w:rtl w:val="0"/>
        </w:rPr>
        <w:t xml:space="preserve">100mg c/12hs dia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Dosis en insuficiencia renal (Cl cr menor a 10ml/min) o dialisis: </w:t>
      </w:r>
      <w:r w:rsidDel="00000000" w:rsidR="00000000" w:rsidRPr="00000000">
        <w:rPr>
          <w:b w:val="1"/>
          <w:rtl w:val="0"/>
        </w:rPr>
        <w:t xml:space="preserve">50mg c/12hs dia</w:t>
      </w:r>
    </w:p>
    <w:p w:rsidR="00000000" w:rsidDel="00000000" w:rsidP="00000000" w:rsidRDefault="00000000" w:rsidRPr="00000000" w14:paraId="00000022">
      <w:pPr>
        <w:numPr>
          <w:ilvl w:val="1"/>
          <w:numId w:val="1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No es necesario dar dosis de refuerzo post dialisis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Dosis en insuficiencia hepatica leve a moderada: </w:t>
      </w:r>
      <w:r w:rsidDel="00000000" w:rsidR="00000000" w:rsidRPr="00000000">
        <w:rPr>
          <w:b w:val="1"/>
          <w:rtl w:val="0"/>
        </w:rPr>
        <w:t xml:space="preserve">100mg c/12hs dia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Interacciones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Sindrome serotoninergico por asociación con psicofarmacos como los IRSS, IMAO, triciclicos, antipsicoticos y con el contraste IV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Drogas que disminuyan el umbral convulsivo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Drogas anticolinergicas: aumento del riesgo de retencion urinaria, deterioro cognitivo, aumento de constipacion, glaucoma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Drogas inductoras e inhibidoras del CYP2D6 y CYP3A4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hay interaccion con anticoagulantes dicumarinicos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asociacion con ondansetron: se inhibe el efecto analgesico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Formas de presentacion: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GOTAS: ojo ya que las gotas no son todas iguales! 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Segun la marca: 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30 gotas = 50mg (Calmador)  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20 gotas = 50mg (Tramal y Ultragesic)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      </w:t>
        <w:tab/>
        <w:t xml:space="preserve">15 gotas = 50mg (Calmador)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ab/>
        <w:t xml:space="preserve">14 gotas = 50mg (Trama Klosidol)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ab/>
        <w:t xml:space="preserve">12 gotas = 50mg (Lixidol)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COMPRIMIDOS de liberacion prolongada (12hs) no se parten pulverizan ni se pasan por K108 o gastrostomía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CAPSULAS de liberacion prolongada (24hs) y CAPSULAS BLANDAS (faciles de deglutir y se absorben mas rapido)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COMPRIMIDOS ranurados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COMPRIMIDOS asociados a ibuprofeno, paracetamol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AMPOLLAS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Titulacion: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Comenzar bajo y seguir de a poco pero llegar a dosis analgesica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Comenzar de noche dentro de lo posible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Comenzar con formas de liberacion inmediata y luego pasar a presentacion LP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Evaluar asociacion a metoclopramida al inicio y algun laxante segun necesidad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En caso de usar gotas, valorar previamente la vision y motricidad fina del paciente para poder contar las gotas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No es de buena praxis comenzar con este farmaco en caso de dolor severo (dolor oncologico por ej)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Tiempo de uso a dosis efectiva minima: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Dolor agudo: menos de 3 meses</w:t>
      </w:r>
    </w:p>
    <w:p w:rsidR="00000000" w:rsidDel="00000000" w:rsidP="00000000" w:rsidRDefault="00000000" w:rsidRPr="00000000" w14:paraId="00000049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Dolor cronico: tiempo indefinido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Recordar que la discontinuacion debe ser escalonada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Asociaciones sinergicas segun diagnostico sindromatico: 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DOLOR AGUDO TRAUMATICO O POP</w:t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TRAMADOL + AINE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TRAMADOL + PARACETAMOL/DIPIRONA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TRAMADOL + CORTICOIDE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DOLOR AGUDO VISCERAL (SEGUNDA LINEA)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TRAMADOL + AINE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TRAMADOL * PARACETAMOL/DIPIRONA</w:t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DOLOR CRONICO OSTEO MIO ARTICULAR (reumatologico o degenerativo)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TRAMADOL + PARACETAMOL</w:t>
      </w:r>
    </w:p>
    <w:p w:rsidR="00000000" w:rsidDel="00000000" w:rsidP="00000000" w:rsidRDefault="00000000" w:rsidRPr="00000000" w14:paraId="0000005B">
      <w:pPr>
        <w:numPr>
          <w:ilvl w:val="0"/>
          <w:numId w:val="1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TRAMADOL + ANTIDEPRESIVOS DUALES o TRICICLICOS</w:t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DOLOR NEUROPATICO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TRAMADOL + PREGABALINA/GABAPENTIN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TRAMADOL + ANTIDEPRESIVOS DUALES o TRICICLICOS</w:t>
      </w:r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DOLOR ONCOLOGICO:</w:t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1. TRAMADOL + AINE + PREGABALINA +/- CORTICOIDE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FIBROMIALGIA:</w:t>
      </w:r>
    </w:p>
    <w:p w:rsidR="00000000" w:rsidDel="00000000" w:rsidP="00000000" w:rsidRDefault="00000000" w:rsidRPr="00000000" w14:paraId="00000065">
      <w:pPr>
        <w:numPr>
          <w:ilvl w:val="1"/>
          <w:numId w:val="1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Recordar que es una droga de segunda o tercera linea</w:t>
      </w:r>
    </w:p>
    <w:p w:rsidR="00000000" w:rsidDel="00000000" w:rsidP="00000000" w:rsidRDefault="00000000" w:rsidRPr="00000000" w14:paraId="00000066">
      <w:pPr>
        <w:numPr>
          <w:ilvl w:val="1"/>
          <w:numId w:val="1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Mayor incidencia de Sme serotoninergico</w:t>
      </w:r>
    </w:p>
    <w:p w:rsidR="00000000" w:rsidDel="00000000" w:rsidP="00000000" w:rsidRDefault="00000000" w:rsidRPr="00000000" w14:paraId="00000067">
      <w:pPr>
        <w:numPr>
          <w:ilvl w:val="1"/>
          <w:numId w:val="1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Precaucion fibrofog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Dra Dolores Gastelu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Bibliografia: fundación GADA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